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DD6" w:rsidRDefault="002F0264">
      <w:pPr>
        <w:pStyle w:val="Subtitle"/>
      </w:pPr>
      <w:r>
        <w:rPr>
          <w:i/>
        </w:rPr>
        <w:t>Wood Availability in Springer Creek’s operating area in Arrow TSA</w:t>
      </w:r>
    </w:p>
    <w:p w:rsidR="00CF7DD6" w:rsidRDefault="00CF7DD6">
      <w:pPr>
        <w:pStyle w:val="Subtitle"/>
      </w:pPr>
    </w:p>
    <w:p w:rsidR="004F6ADF" w:rsidRDefault="00CF7DD6" w:rsidP="004F6ADF">
      <w:pPr>
        <w:pStyle w:val="Subtitle"/>
        <w:rPr>
          <w:sz w:val="22"/>
          <w:szCs w:val="22"/>
        </w:rPr>
      </w:pPr>
      <w:r>
        <w:rPr>
          <w:sz w:val="22"/>
          <w:szCs w:val="22"/>
        </w:rPr>
        <w:t xml:space="preserve">Prepared by Kathy Howard, RPF – </w:t>
      </w:r>
      <w:r w:rsidR="002F0264">
        <w:rPr>
          <w:sz w:val="22"/>
          <w:szCs w:val="22"/>
        </w:rPr>
        <w:t>July 2011</w:t>
      </w:r>
    </w:p>
    <w:p w:rsidR="004F6ADF" w:rsidRPr="004F6ADF" w:rsidRDefault="004F6ADF" w:rsidP="004F6ADF">
      <w:pPr>
        <w:pStyle w:val="Subtitle"/>
        <w:rPr>
          <w:b w:val="0"/>
          <w:i/>
          <w:sz w:val="24"/>
          <w:szCs w:val="22"/>
        </w:rPr>
      </w:pPr>
      <w:r w:rsidRPr="004F6ADF">
        <w:rPr>
          <w:b w:val="0"/>
          <w:i/>
          <w:sz w:val="24"/>
          <w:szCs w:val="22"/>
        </w:rPr>
        <w:t>- DRAFT -</w:t>
      </w:r>
    </w:p>
    <w:p w:rsidR="00CF7DD6" w:rsidRDefault="00CF7DD6">
      <w:pPr>
        <w:jc w:val="center"/>
        <w:rPr>
          <w:b/>
        </w:rPr>
      </w:pPr>
    </w:p>
    <w:p w:rsidR="00CF7DD6" w:rsidRPr="00B94F2A" w:rsidRDefault="00CF7DD6">
      <w:pPr>
        <w:rPr>
          <w:u w:val="single"/>
        </w:rPr>
      </w:pPr>
      <w:r w:rsidRPr="00B94F2A">
        <w:rPr>
          <w:u w:val="single"/>
        </w:rPr>
        <w:t>Project Goal:</w:t>
      </w:r>
    </w:p>
    <w:p w:rsidR="00CF7DD6" w:rsidRDefault="002F0264" w:rsidP="002F0264">
      <w:pPr>
        <w:rPr>
          <w:rFonts w:cs="Arial"/>
        </w:rPr>
      </w:pPr>
      <w:r>
        <w:t xml:space="preserve">Springer Creek Forest Products has been concerned about </w:t>
      </w:r>
      <w:r w:rsidR="00974C46">
        <w:t xml:space="preserve">the availability of the </w:t>
      </w:r>
      <w:r>
        <w:t>harvestable wood within their operating area.  Th</w:t>
      </w:r>
      <w:r w:rsidR="00CF7DD6" w:rsidRPr="00EF474F">
        <w:rPr>
          <w:rFonts w:cs="Arial"/>
        </w:rPr>
        <w:t xml:space="preserve">e objective of this project is to examine a number of operability factors </w:t>
      </w:r>
      <w:r w:rsidR="0042241B" w:rsidRPr="00EF474F">
        <w:rPr>
          <w:rFonts w:cs="Arial"/>
        </w:rPr>
        <w:t>and forest</w:t>
      </w:r>
      <w:r w:rsidR="00CF7DD6" w:rsidRPr="00EF474F">
        <w:rPr>
          <w:rFonts w:cs="Arial"/>
        </w:rPr>
        <w:t xml:space="preserve"> management considerations, </w:t>
      </w:r>
      <w:r>
        <w:rPr>
          <w:rFonts w:cs="Arial"/>
        </w:rPr>
        <w:t>in the attempt to</w:t>
      </w:r>
      <w:r w:rsidR="00CF7DD6" w:rsidRPr="00EF474F">
        <w:rPr>
          <w:rFonts w:cs="Arial"/>
        </w:rPr>
        <w:t xml:space="preserve"> quantifiably and spatially identify </w:t>
      </w:r>
      <w:r>
        <w:rPr>
          <w:rFonts w:cs="Arial"/>
        </w:rPr>
        <w:t xml:space="preserve">available </w:t>
      </w:r>
      <w:r w:rsidR="00CF7DD6" w:rsidRPr="00EF474F">
        <w:rPr>
          <w:rFonts w:cs="Arial"/>
        </w:rPr>
        <w:t xml:space="preserve">wood volumes </w:t>
      </w:r>
      <w:r>
        <w:rPr>
          <w:rFonts w:cs="Arial"/>
        </w:rPr>
        <w:t xml:space="preserve">within Springer’s </w:t>
      </w:r>
      <w:r w:rsidR="00CF7DD6" w:rsidRPr="00EF474F">
        <w:rPr>
          <w:rFonts w:cs="Arial"/>
        </w:rPr>
        <w:t xml:space="preserve">operating area units.   </w:t>
      </w:r>
    </w:p>
    <w:p w:rsidR="002F0264" w:rsidRPr="0019141A" w:rsidRDefault="002F0264" w:rsidP="002F0264">
      <w:r>
        <w:rPr>
          <w:rFonts w:cs="Arial"/>
        </w:rPr>
        <w:t xml:space="preserve">This project </w:t>
      </w:r>
      <w:r w:rsidR="004D6B52">
        <w:rPr>
          <w:rFonts w:cs="Arial"/>
        </w:rPr>
        <w:t>is</w:t>
      </w:r>
      <w:r>
        <w:rPr>
          <w:rFonts w:cs="Arial"/>
        </w:rPr>
        <w:t xml:space="preserve"> a </w:t>
      </w:r>
      <w:r w:rsidR="004D6B52">
        <w:rPr>
          <w:rFonts w:cs="Arial"/>
        </w:rPr>
        <w:t>spinoff</w:t>
      </w:r>
      <w:r>
        <w:rPr>
          <w:rFonts w:cs="Arial"/>
        </w:rPr>
        <w:t xml:space="preserve"> of Springer’s 2009-2010 FIA </w:t>
      </w:r>
      <w:r w:rsidR="00755C5D">
        <w:rPr>
          <w:rFonts w:cs="Arial"/>
        </w:rPr>
        <w:t>project</w:t>
      </w:r>
      <w:r w:rsidR="004D6B52">
        <w:rPr>
          <w:rFonts w:cs="Arial"/>
        </w:rPr>
        <w:t xml:space="preserve"> – Harvest Flow Planning.  The original FIA report (March 31, 2010) or the update of the report done in October 2010</w:t>
      </w:r>
      <w:r w:rsidR="00227005">
        <w:rPr>
          <w:rFonts w:cs="Arial"/>
        </w:rPr>
        <w:t xml:space="preserve"> (</w:t>
      </w:r>
      <w:r w:rsidR="004D6B52">
        <w:rPr>
          <w:rFonts w:cs="Arial"/>
        </w:rPr>
        <w:t>to adjust for data issues</w:t>
      </w:r>
      <w:r w:rsidR="00227005">
        <w:rPr>
          <w:rFonts w:cs="Arial"/>
        </w:rPr>
        <w:t>)</w:t>
      </w:r>
      <w:r w:rsidR="004D6B52">
        <w:rPr>
          <w:rFonts w:cs="Arial"/>
        </w:rPr>
        <w:t xml:space="preserve"> </w:t>
      </w:r>
      <w:r w:rsidR="004D6B52" w:rsidRPr="0019141A">
        <w:rPr>
          <w:rFonts w:cs="Arial"/>
        </w:rPr>
        <w:t>provide</w:t>
      </w:r>
      <w:r w:rsidR="00974C46">
        <w:rPr>
          <w:rFonts w:cs="Arial"/>
        </w:rPr>
        <w:t>s</w:t>
      </w:r>
      <w:r w:rsidR="004D6B52" w:rsidRPr="0019141A">
        <w:rPr>
          <w:rFonts w:cs="Arial"/>
        </w:rPr>
        <w:t xml:space="preserve"> details in the </w:t>
      </w:r>
      <w:r w:rsidR="00227005">
        <w:rPr>
          <w:rFonts w:cs="Arial"/>
        </w:rPr>
        <w:t xml:space="preserve">original </w:t>
      </w:r>
      <w:r w:rsidR="004D6B52" w:rsidRPr="0019141A">
        <w:rPr>
          <w:rFonts w:cs="Arial"/>
        </w:rPr>
        <w:t xml:space="preserve">methodology, history &amp; logistics </w:t>
      </w:r>
      <w:r w:rsidR="00227005">
        <w:rPr>
          <w:rFonts w:cs="Arial"/>
        </w:rPr>
        <w:t xml:space="preserve">thus </w:t>
      </w:r>
      <w:r w:rsidR="004D6B52" w:rsidRPr="0019141A">
        <w:rPr>
          <w:rFonts w:cs="Arial"/>
        </w:rPr>
        <w:t>is not duplicated in this report.</w:t>
      </w:r>
    </w:p>
    <w:p w:rsidR="00974C46" w:rsidRPr="00977316" w:rsidRDefault="00974C46" w:rsidP="00974C46">
      <w:pPr>
        <w:rPr>
          <w:u w:val="single"/>
        </w:rPr>
      </w:pPr>
      <w:r w:rsidRPr="00977316">
        <w:rPr>
          <w:u w:val="single"/>
        </w:rPr>
        <w:t>Differences between HLPO Table 3as area &amp; spatial areas</w:t>
      </w:r>
    </w:p>
    <w:p w:rsidR="00974C46" w:rsidRDefault="00974C46" w:rsidP="00974C46">
      <w:r w:rsidRPr="00977316">
        <w:t xml:space="preserve">One of the challenges that was faced with this </w:t>
      </w:r>
      <w:r>
        <w:t xml:space="preserve">project was to understand what each of the tabular and spatial information is representing.  </w:t>
      </w:r>
    </w:p>
    <w:p w:rsidR="00974C46" w:rsidRPr="00974C46" w:rsidRDefault="00974C46" w:rsidP="00974C46">
      <w:pPr>
        <w:spacing w:after="0"/>
        <w:rPr>
          <w:i/>
        </w:rPr>
      </w:pPr>
      <w:r w:rsidRPr="00974C46">
        <w:rPr>
          <w:i/>
        </w:rPr>
        <w:t>Non-spatial HLPO tables</w:t>
      </w:r>
    </w:p>
    <w:p w:rsidR="00974C46" w:rsidRDefault="00974C46" w:rsidP="00974C46">
      <w:r>
        <w:t xml:space="preserve">A practicality or a limitation, the HLPO tables are based on entire landscape units.  This makes trying to determine how much area is available in a specific operating area next to impossible.  However, one of the positive aspects of the tables is that they seem to be addressing allocations and availability for the resource emphasis areas (e.g. watersheds, visuals) as such the table values should represent available areas with the areas needed for management netted out.   </w:t>
      </w:r>
    </w:p>
    <w:p w:rsidR="00974C46" w:rsidRPr="00974C46" w:rsidRDefault="00974C46" w:rsidP="00974C46">
      <w:pPr>
        <w:spacing w:after="0"/>
        <w:rPr>
          <w:i/>
        </w:rPr>
      </w:pPr>
      <w:r w:rsidRPr="00974C46">
        <w:rPr>
          <w:i/>
        </w:rPr>
        <w:t>Spatial data set</w:t>
      </w:r>
    </w:p>
    <w:p w:rsidR="00974C46" w:rsidRDefault="00974C46" w:rsidP="00974C46">
      <w:r>
        <w:t xml:space="preserve">The spatial information cannot do such allocation.  It was determined very early in the HLPO Suite development that it is inappropriate to allow a model to arbitrarily choose where to allocate management areas if there are not hard rules (e.g. caribou no harvest or biodiversity oldest age class allocation).  As such, soft targets like visuals, ungulate winter range and watersheds are not actually included in the spatial management constraints.  This was one of the reasons for separating out the visual &amp; watershed areas in the Excel tables.  Additionally, from a biodiversity perspective if some of an age class is available then spatially all of this age class is shown as potentially available.  A table that linked to the allocated spatial data used to be available but does not seem to be available anymore.  It would have helped to clarify available areas.  To help with this issue, information from Table 3as was included in the Excel table to give an idea of whether the spatial values were somewhat reasonable.  </w:t>
      </w:r>
    </w:p>
    <w:p w:rsidR="00974C46" w:rsidRPr="00977316" w:rsidRDefault="00974C46" w:rsidP="00974C46">
      <w:r>
        <w:t>Additionally, I believe it is correct to state that terrain issues (TSIL – unstable, class V) were not considered or netted out in either the tables or the spatial data as would have been done in a timber supply review process.</w:t>
      </w:r>
    </w:p>
    <w:p w:rsidR="00974C46" w:rsidRPr="00977316" w:rsidRDefault="00974C46" w:rsidP="00974C46">
      <w:pPr>
        <w:keepNext/>
        <w:rPr>
          <w:u w:val="single"/>
        </w:rPr>
      </w:pPr>
      <w:r>
        <w:rPr>
          <w:u w:val="single"/>
        </w:rPr>
        <w:lastRenderedPageBreak/>
        <w:t>Exclusion of ACO theme 3 areas</w:t>
      </w:r>
    </w:p>
    <w:p w:rsidR="00974C46" w:rsidRPr="00755C5D" w:rsidRDefault="00974C46" w:rsidP="00974C46">
      <w:pPr>
        <w:keepNext/>
      </w:pPr>
      <w:r w:rsidRPr="00755C5D">
        <w:t>Due to issue identified in the previous paragraph and the fact that the ACO theme 3 values from a tabular perspective do not generally represent a large area and volume, it was decided to ignore the ACO theme 3 polygons.</w:t>
      </w:r>
    </w:p>
    <w:p w:rsidR="0042241B" w:rsidRPr="00755C5D" w:rsidRDefault="00974C46" w:rsidP="0042241B">
      <w:pPr>
        <w:rPr>
          <w:u w:val="single"/>
        </w:rPr>
      </w:pPr>
      <w:r w:rsidRPr="00755C5D">
        <w:rPr>
          <w:u w:val="single"/>
        </w:rPr>
        <w:t xml:space="preserve">Excel </w:t>
      </w:r>
      <w:r w:rsidR="0019141A" w:rsidRPr="00755C5D">
        <w:rPr>
          <w:u w:val="single"/>
        </w:rPr>
        <w:t>Table Description</w:t>
      </w:r>
      <w:r w:rsidRPr="00755C5D">
        <w:rPr>
          <w:i/>
        </w:rPr>
        <w:t xml:space="preserve"> – from the top to the bottom</w:t>
      </w:r>
    </w:p>
    <w:p w:rsidR="00EC4CDC" w:rsidRDefault="0019141A" w:rsidP="0042241B">
      <w:r w:rsidRPr="00755C5D">
        <w:t xml:space="preserve">The first two rows of the table (in red) summarize the THLB values for age classes 4 to 9 from the HLPO Table 3as (Summary of unallocated areas after completing targets (Biodiversity and all modeled REAs).  ACO theme 3 stands are the oldest age class with some area available for harvest.  ACO theme 4 &amp; 5 are the remaining stands that are younger than the ACO theme 3 stands and have some area available for harvest.   For </w:t>
      </w:r>
      <w:r w:rsidR="00974C46" w:rsidRPr="00755C5D">
        <w:t>this</w:t>
      </w:r>
      <w:r w:rsidRPr="00755C5D">
        <w:t xml:space="preserve"> table summary, only stands above age class 4 </w:t>
      </w:r>
      <w:r w:rsidR="00974C46" w:rsidRPr="00755C5D">
        <w:t xml:space="preserve">were included </w:t>
      </w:r>
      <w:r w:rsidRPr="00755C5D">
        <w:t>as very few younger stands</w:t>
      </w:r>
      <w:r>
        <w:t xml:space="preserve"> </w:t>
      </w:r>
      <w:r w:rsidR="00974C46">
        <w:t xml:space="preserve">would meet </w:t>
      </w:r>
      <w:r>
        <w:t xml:space="preserve">the volume requirement used in this project.    </w:t>
      </w:r>
      <w:r w:rsidR="002C5440">
        <w:t xml:space="preserve">The second row shows a non-spatial estimate of how much of this area should be available proportionally to Springer based on harvestable THLB area.  The HLPO </w:t>
      </w:r>
      <w:r w:rsidR="00974C46">
        <w:t>tables only sho</w:t>
      </w:r>
      <w:r w:rsidR="00974C46" w:rsidRPr="00974C46">
        <w:t>w</w:t>
      </w:r>
      <w:r w:rsidR="002C5440" w:rsidRPr="00974C46">
        <w:t xml:space="preserve"> </w:t>
      </w:r>
      <w:r w:rsidR="00974C46" w:rsidRPr="00974C46">
        <w:t>hectares</w:t>
      </w:r>
      <w:r w:rsidR="002C5440">
        <w:t xml:space="preserve"> available and one of Springer’s </w:t>
      </w:r>
      <w:r w:rsidR="00974C46">
        <w:t>interests</w:t>
      </w:r>
      <w:r w:rsidR="002C5440">
        <w:t xml:space="preserve"> is to identify volumes available versus simply hectares.  This concept is where the spatial data became useful as it contains volume information.</w:t>
      </w:r>
    </w:p>
    <w:p w:rsidR="002C5440" w:rsidRDefault="002C5440" w:rsidP="0042241B">
      <w:r>
        <w:t>The remaining portion of the table is all based on the September 2009 HLPO spatial data.  Very few adjustments have been made to the data with the exception of removing areas that were part of the Springer Creek fire and adjustments made to address the 2010 Caribou linework (these adjustments were not possible to incorporate in the HLPO table 3a</w:t>
      </w:r>
      <w:r w:rsidR="00BB5FE6">
        <w:t>s</w:t>
      </w:r>
      <w:r>
        <w:t xml:space="preserve"> values).  </w:t>
      </w:r>
      <w:r w:rsidR="00377915">
        <w:t>To</w:t>
      </w:r>
      <w:r>
        <w:t xml:space="preserve"> provide additional operational information , values were split based on harvest methodology (cable stand volume must be at least 275 m</w:t>
      </w:r>
      <w:r w:rsidRPr="00377915">
        <w:rPr>
          <w:vertAlign w:val="superscript"/>
        </w:rPr>
        <w:t>3</w:t>
      </w:r>
      <w:r>
        <w:t xml:space="preserve">/ha </w:t>
      </w:r>
      <w:r w:rsidR="00377915">
        <w:t xml:space="preserve">and </w:t>
      </w:r>
      <w:r>
        <w:t xml:space="preserve"> ground-based stands must be on slopes less than 40% and have a stand volume </w:t>
      </w:r>
      <w:r w:rsidR="00377915">
        <w:t>of between 150 &amp; 275 m</w:t>
      </w:r>
      <w:r w:rsidR="00377915" w:rsidRPr="00377915">
        <w:rPr>
          <w:vertAlign w:val="superscript"/>
        </w:rPr>
        <w:t>3</w:t>
      </w:r>
      <w:r w:rsidR="00377915">
        <w:t>/ha).</w:t>
      </w:r>
    </w:p>
    <w:p w:rsidR="00377915" w:rsidRDefault="00377915" w:rsidP="00755C5D">
      <w:pPr>
        <w:pStyle w:val="ListParagraph"/>
        <w:numPr>
          <w:ilvl w:val="0"/>
          <w:numId w:val="14"/>
        </w:numPr>
      </w:pPr>
      <w:r>
        <w:t xml:space="preserve">The initial values </w:t>
      </w:r>
      <w:r w:rsidR="002808F3">
        <w:t>(black text) represent stands that:</w:t>
      </w:r>
    </w:p>
    <w:p w:rsidR="002C5440" w:rsidRDefault="00377915" w:rsidP="00377915">
      <w:pPr>
        <w:pStyle w:val="ListParagraph"/>
        <w:numPr>
          <w:ilvl w:val="0"/>
          <w:numId w:val="11"/>
        </w:numPr>
      </w:pPr>
      <w:r>
        <w:t xml:space="preserve">meet the noted volume requirements, </w:t>
      </w:r>
    </w:p>
    <w:p w:rsidR="00377915" w:rsidRDefault="00377915" w:rsidP="00377915">
      <w:pPr>
        <w:pStyle w:val="ListParagraph"/>
        <w:numPr>
          <w:ilvl w:val="0"/>
          <w:numId w:val="11"/>
        </w:numPr>
      </w:pPr>
      <w:r>
        <w:t>are not within OGMA</w:t>
      </w:r>
      <w:r w:rsidR="00755C5D">
        <w:t>s</w:t>
      </w:r>
    </w:p>
    <w:p w:rsidR="00377915" w:rsidRDefault="00755C5D" w:rsidP="00377915">
      <w:pPr>
        <w:pStyle w:val="ListParagraph"/>
        <w:numPr>
          <w:ilvl w:val="0"/>
          <w:numId w:val="11"/>
        </w:numPr>
      </w:pPr>
      <w:r>
        <w:t>are part of the</w:t>
      </w:r>
      <w:r w:rsidR="00377915">
        <w:t xml:space="preserve"> THLB area</w:t>
      </w:r>
    </w:p>
    <w:p w:rsidR="00377915" w:rsidRDefault="00377915" w:rsidP="00377915">
      <w:pPr>
        <w:pStyle w:val="ListParagraph"/>
        <w:numPr>
          <w:ilvl w:val="0"/>
          <w:numId w:val="11"/>
        </w:numPr>
      </w:pPr>
      <w:r>
        <w:t xml:space="preserve">are identified as either ACO theme 4 or 5, or only ACO theme 3, and </w:t>
      </w:r>
    </w:p>
    <w:p w:rsidR="00377915" w:rsidRDefault="00377915" w:rsidP="00377915">
      <w:pPr>
        <w:pStyle w:val="ListParagraph"/>
        <w:numPr>
          <w:ilvl w:val="0"/>
          <w:numId w:val="11"/>
        </w:numPr>
      </w:pPr>
      <w:r>
        <w:t>are within Springer’s operating area</w:t>
      </w:r>
    </w:p>
    <w:p w:rsidR="00755C5D" w:rsidRDefault="00755C5D" w:rsidP="00755C5D">
      <w:pPr>
        <w:pStyle w:val="ListParagraph"/>
        <w:ind w:left="360"/>
      </w:pPr>
    </w:p>
    <w:p w:rsidR="002C5440" w:rsidRDefault="00377915" w:rsidP="00755C5D">
      <w:pPr>
        <w:pStyle w:val="ListParagraph"/>
        <w:numPr>
          <w:ilvl w:val="0"/>
          <w:numId w:val="14"/>
        </w:numPr>
      </w:pPr>
      <w:r>
        <w:t>The next set of areas and volumes</w:t>
      </w:r>
      <w:r w:rsidR="002808F3">
        <w:t xml:space="preserve"> (blue text)</w:t>
      </w:r>
      <w:r>
        <w:t xml:space="preserve">, followed the above and </w:t>
      </w:r>
      <w:r w:rsidR="00227005">
        <w:t>remove</w:t>
      </w:r>
      <w:r>
        <w:t xml:space="preserve"> what Springer </w:t>
      </w:r>
      <w:r w:rsidR="00227005">
        <w:t xml:space="preserve">has </w:t>
      </w:r>
      <w:r>
        <w:t>defined as pulp stands.  Pulp stands were defined as:</w:t>
      </w:r>
    </w:p>
    <w:p w:rsidR="00377915" w:rsidRDefault="00377915" w:rsidP="00377915">
      <w:pPr>
        <w:pStyle w:val="ListParagraph"/>
        <w:numPr>
          <w:ilvl w:val="0"/>
          <w:numId w:val="12"/>
        </w:numPr>
      </w:pPr>
      <w:r>
        <w:t xml:space="preserve">Balsam stands that </w:t>
      </w:r>
      <w:r w:rsidR="00227005">
        <w:t>are</w:t>
      </w:r>
      <w:r>
        <w:t xml:space="preserve"> age class 5 or older</w:t>
      </w:r>
    </w:p>
    <w:p w:rsidR="00377915" w:rsidRDefault="00377915" w:rsidP="00377915">
      <w:pPr>
        <w:pStyle w:val="ListParagraph"/>
        <w:numPr>
          <w:ilvl w:val="0"/>
          <w:numId w:val="12"/>
        </w:numPr>
      </w:pPr>
      <w:r>
        <w:t xml:space="preserve">Hemlock stands in ESSFwc1 or ESSFwc4 that </w:t>
      </w:r>
      <w:r w:rsidR="00227005">
        <w:t>are</w:t>
      </w:r>
      <w:r>
        <w:t xml:space="preserve"> age class 6 or older.</w:t>
      </w:r>
    </w:p>
    <w:p w:rsidR="00755C5D" w:rsidRDefault="00755C5D" w:rsidP="00755C5D">
      <w:pPr>
        <w:pStyle w:val="ListParagraph"/>
        <w:ind w:left="360"/>
      </w:pPr>
    </w:p>
    <w:p w:rsidR="00377915" w:rsidRDefault="00377915" w:rsidP="00755C5D">
      <w:pPr>
        <w:pStyle w:val="ListParagraph"/>
        <w:numPr>
          <w:ilvl w:val="0"/>
          <w:numId w:val="14"/>
        </w:numPr>
      </w:pPr>
      <w:r>
        <w:t>The next values</w:t>
      </w:r>
      <w:r w:rsidR="002808F3">
        <w:t xml:space="preserve"> (brown text)</w:t>
      </w:r>
      <w:r>
        <w:t xml:space="preserve">, followed the above and remove what Springer </w:t>
      </w:r>
      <w:r w:rsidR="00227005">
        <w:t xml:space="preserve">has </w:t>
      </w:r>
      <w:r>
        <w:t xml:space="preserve">defined as steep slopes </w:t>
      </w:r>
      <w:r w:rsidR="00227005">
        <w:t xml:space="preserve">these are </w:t>
      </w:r>
      <w:r>
        <w:t xml:space="preserve">slopes that </w:t>
      </w:r>
      <w:r w:rsidR="00227005">
        <w:t>are</w:t>
      </w:r>
      <w:r>
        <w:t xml:space="preserve"> 70% or greater.  All of the values up to this point are netted down values. </w:t>
      </w:r>
    </w:p>
    <w:p w:rsidR="00755C5D" w:rsidRDefault="00755C5D" w:rsidP="00755C5D">
      <w:pPr>
        <w:pStyle w:val="ListParagraph"/>
        <w:ind w:left="360"/>
      </w:pPr>
    </w:p>
    <w:p w:rsidR="00377915" w:rsidRDefault="00145E15" w:rsidP="00755C5D">
      <w:pPr>
        <w:pStyle w:val="ListParagraph"/>
        <w:numPr>
          <w:ilvl w:val="0"/>
          <w:numId w:val="14"/>
        </w:numPr>
      </w:pPr>
      <w:r>
        <w:t xml:space="preserve">The bottom section (black &amp; red text) shows </w:t>
      </w:r>
      <w:r w:rsidR="00377915">
        <w:t>area</w:t>
      </w:r>
      <w:r w:rsidR="00227005">
        <w:t>s</w:t>
      </w:r>
      <w:r w:rsidR="00377915">
        <w:t xml:space="preserve"> and volumes </w:t>
      </w:r>
      <w:r w:rsidR="00227005">
        <w:t xml:space="preserve">that </w:t>
      </w:r>
      <w:r w:rsidR="00377915">
        <w:t xml:space="preserve">are within </w:t>
      </w:r>
      <w:r w:rsidR="00977316">
        <w:t xml:space="preserve">(not netted down, as done in the earlier portions of the table) the </w:t>
      </w:r>
      <w:r w:rsidR="00377915">
        <w:t xml:space="preserve">VQO &amp; watershed polygons in the areas previously </w:t>
      </w:r>
      <w:r w:rsidR="00377915">
        <w:lastRenderedPageBreak/>
        <w:t>identified.</w:t>
      </w:r>
      <w:r w:rsidR="00977316">
        <w:t xml:space="preserve">  </w:t>
      </w:r>
      <w:r>
        <w:t xml:space="preserve">The black text shows the total volume/area that is within each of the defined units.  The red text is the result of an Operational review of the maps and identifies volume/area that is likely available today.  The red “Notes” describe the level of netdown from the black values and general comments.  </w:t>
      </w:r>
    </w:p>
    <w:p w:rsidR="00755C5D" w:rsidRDefault="00755C5D" w:rsidP="00755C5D">
      <w:pPr>
        <w:pStyle w:val="ListParagraph"/>
        <w:ind w:left="360"/>
      </w:pPr>
    </w:p>
    <w:p w:rsidR="00145E15" w:rsidRDefault="00977316" w:rsidP="00755C5D">
      <w:pPr>
        <w:pStyle w:val="ListParagraph"/>
        <w:numPr>
          <w:ilvl w:val="0"/>
          <w:numId w:val="14"/>
        </w:numPr>
      </w:pPr>
      <w:r>
        <w:t xml:space="preserve">The last two rows of the table (green </w:t>
      </w:r>
      <w:r w:rsidR="00145E15">
        <w:t xml:space="preserve">&amp; red </w:t>
      </w:r>
      <w:r>
        <w:t xml:space="preserve">values) </w:t>
      </w:r>
      <w:r w:rsidR="00145E15">
        <w:t xml:space="preserve">sums up what is available </w:t>
      </w:r>
      <w:r>
        <w:t>if</w:t>
      </w:r>
      <w:r w:rsidR="00145E15">
        <w:t>:</w:t>
      </w:r>
      <w:r>
        <w:t xml:space="preserve"> </w:t>
      </w:r>
    </w:p>
    <w:p w:rsidR="00977316" w:rsidRDefault="00145E15" w:rsidP="00145E15">
      <w:pPr>
        <w:pStyle w:val="ListParagraph"/>
        <w:numPr>
          <w:ilvl w:val="0"/>
          <w:numId w:val="13"/>
        </w:numPr>
      </w:pPr>
      <w:r>
        <w:t>A</w:t>
      </w:r>
      <w:r w:rsidR="00977316">
        <w:t xml:space="preserve">ll of the VQO &amp; </w:t>
      </w:r>
      <w:r w:rsidR="00977316" w:rsidRPr="00977316">
        <w:t>watershed areas were removed, along wi</w:t>
      </w:r>
      <w:r>
        <w:t>th all of the previous netdowns, and</w:t>
      </w:r>
    </w:p>
    <w:p w:rsidR="00145E15" w:rsidRPr="00977316" w:rsidRDefault="00145E15" w:rsidP="00145E15">
      <w:pPr>
        <w:pStyle w:val="ListParagraph"/>
        <w:numPr>
          <w:ilvl w:val="0"/>
          <w:numId w:val="13"/>
        </w:numPr>
      </w:pPr>
      <w:r>
        <w:t>Operational perspective is considered and certain visual &amp; watershed areas are added back in as there is area/volume that is realistically available.</w:t>
      </w:r>
    </w:p>
    <w:sectPr w:rsidR="00145E15" w:rsidRPr="00977316" w:rsidSect="007F14C8">
      <w:footerReference w:type="default" r:id="rId8"/>
      <w:pgSz w:w="12240" w:h="15840"/>
      <w:pgMar w:top="1134" w:right="1440" w:bottom="1134"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3D90" w:rsidRDefault="00943D90">
      <w:pPr>
        <w:spacing w:after="0" w:line="240" w:lineRule="auto"/>
      </w:pPr>
      <w:r>
        <w:separator/>
      </w:r>
    </w:p>
  </w:endnote>
  <w:endnote w:type="continuationSeparator" w:id="0">
    <w:p w:rsidR="00943D90" w:rsidRDefault="00943D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3D2" w:rsidRDefault="005F78B8" w:rsidP="00BE15AC">
    <w:pPr>
      <w:pStyle w:val="Footer"/>
      <w:rPr>
        <w:sz w:val="18"/>
        <w:szCs w:val="18"/>
      </w:rPr>
    </w:pPr>
    <w:fldSimple w:instr=" FILENAME   \* MERGEFORMAT ">
      <w:r w:rsidR="00C611A9" w:rsidRPr="00C611A9">
        <w:rPr>
          <w:noProof/>
          <w:sz w:val="18"/>
          <w:szCs w:val="18"/>
        </w:rPr>
        <w:t>Wood Availability project_July 2011.docx</w:t>
      </w:r>
    </w:fldSimple>
    <w:r w:rsidR="00BE15AC">
      <w:rPr>
        <w:sz w:val="18"/>
        <w:szCs w:val="18"/>
      </w:rPr>
      <w:tab/>
    </w:r>
    <w:r w:rsidR="00BE15AC">
      <w:rPr>
        <w:sz w:val="18"/>
        <w:szCs w:val="18"/>
      </w:rPr>
      <w:tab/>
    </w:r>
    <w:r w:rsidR="00F703D2">
      <w:rPr>
        <w:sz w:val="18"/>
        <w:szCs w:val="18"/>
      </w:rPr>
      <w:t xml:space="preserve">pg. </w:t>
    </w:r>
    <w:r>
      <w:rPr>
        <w:sz w:val="18"/>
        <w:szCs w:val="18"/>
      </w:rPr>
      <w:fldChar w:fldCharType="begin"/>
    </w:r>
    <w:r w:rsidR="00F703D2">
      <w:rPr>
        <w:sz w:val="18"/>
        <w:szCs w:val="18"/>
      </w:rPr>
      <w:instrText xml:space="preserve"> PAGE    \* MERGEFORMAT </w:instrText>
    </w:r>
    <w:r>
      <w:rPr>
        <w:sz w:val="18"/>
        <w:szCs w:val="18"/>
      </w:rPr>
      <w:fldChar w:fldCharType="separate"/>
    </w:r>
    <w:r w:rsidR="004F6ADF">
      <w:rPr>
        <w:noProof/>
        <w:sz w:val="18"/>
        <w:szCs w:val="18"/>
      </w:rPr>
      <w:t>1</w:t>
    </w:r>
    <w:r>
      <w:rPr>
        <w:sz w:val="18"/>
        <w:szCs w:val="18"/>
      </w:rPr>
      <w:fldChar w:fldCharType="end"/>
    </w:r>
  </w:p>
  <w:p w:rsidR="00F703D2" w:rsidRDefault="00F703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3D90" w:rsidRDefault="00943D90">
      <w:pPr>
        <w:spacing w:after="0" w:line="240" w:lineRule="auto"/>
      </w:pPr>
      <w:r>
        <w:separator/>
      </w:r>
    </w:p>
  </w:footnote>
  <w:footnote w:type="continuationSeparator" w:id="0">
    <w:p w:rsidR="00943D90" w:rsidRDefault="00943D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E14A5"/>
    <w:multiLevelType w:val="hybridMultilevel"/>
    <w:tmpl w:val="5A2EEA32"/>
    <w:lvl w:ilvl="0" w:tplc="10090001">
      <w:start w:val="1"/>
      <w:numFmt w:val="bullet"/>
      <w:lvlText w:val=""/>
      <w:lvlJc w:val="left"/>
      <w:pPr>
        <w:ind w:left="75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abstractNum w:abstractNumId="1">
    <w:nsid w:val="05426073"/>
    <w:multiLevelType w:val="hybridMultilevel"/>
    <w:tmpl w:val="B71AE2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78E7062"/>
    <w:multiLevelType w:val="hybridMultilevel"/>
    <w:tmpl w:val="485C7C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DF17A82"/>
    <w:multiLevelType w:val="hybridMultilevel"/>
    <w:tmpl w:val="3A5C6E9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9CE2B43"/>
    <w:multiLevelType w:val="hybridMultilevel"/>
    <w:tmpl w:val="C30A037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4563096"/>
    <w:multiLevelType w:val="hybridMultilevel"/>
    <w:tmpl w:val="435C738A"/>
    <w:lvl w:ilvl="0" w:tplc="04090005">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nsid w:val="2F20107B"/>
    <w:multiLevelType w:val="hybridMultilevel"/>
    <w:tmpl w:val="DDD838FA"/>
    <w:lvl w:ilvl="0" w:tplc="254E6C2A">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1D75505"/>
    <w:multiLevelType w:val="hybridMultilevel"/>
    <w:tmpl w:val="F1166E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38240BEE"/>
    <w:multiLevelType w:val="hybridMultilevel"/>
    <w:tmpl w:val="DA6E4C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F6426DA"/>
    <w:multiLevelType w:val="hybridMultilevel"/>
    <w:tmpl w:val="8B04B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FAB2262"/>
    <w:multiLevelType w:val="hybridMultilevel"/>
    <w:tmpl w:val="744ABD1E"/>
    <w:lvl w:ilvl="0" w:tplc="71042AD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1">
    <w:nsid w:val="6EAB5450"/>
    <w:multiLevelType w:val="hybridMultilevel"/>
    <w:tmpl w:val="DC02E54A"/>
    <w:lvl w:ilvl="0" w:tplc="10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71813162"/>
    <w:multiLevelType w:val="hybridMultilevel"/>
    <w:tmpl w:val="6A4429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74547CD0"/>
    <w:multiLevelType w:val="hybridMultilevel"/>
    <w:tmpl w:val="B928C7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95A4A21"/>
    <w:multiLevelType w:val="hybridMultilevel"/>
    <w:tmpl w:val="CF744572"/>
    <w:lvl w:ilvl="0" w:tplc="04090015">
      <w:start w:val="1"/>
      <w:numFmt w:val="upperLetter"/>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3"/>
  </w:num>
  <w:num w:numId="2">
    <w:abstractNumId w:val="2"/>
  </w:num>
  <w:num w:numId="3">
    <w:abstractNumId w:val="3"/>
  </w:num>
  <w:num w:numId="4">
    <w:abstractNumId w:val="1"/>
  </w:num>
  <w:num w:numId="5">
    <w:abstractNumId w:val="12"/>
  </w:num>
  <w:num w:numId="6">
    <w:abstractNumId w:val="9"/>
  </w:num>
  <w:num w:numId="7">
    <w:abstractNumId w:val="10"/>
  </w:num>
  <w:num w:numId="8">
    <w:abstractNumId w:val="8"/>
  </w:num>
  <w:num w:numId="9">
    <w:abstractNumId w:val="5"/>
  </w:num>
  <w:num w:numId="10">
    <w:abstractNumId w:val="11"/>
  </w:num>
  <w:num w:numId="11">
    <w:abstractNumId w:val="0"/>
  </w:num>
  <w:num w:numId="12">
    <w:abstractNumId w:val="7"/>
  </w:num>
  <w:num w:numId="13">
    <w:abstractNumId w:val="4"/>
  </w:num>
  <w:num w:numId="14">
    <w:abstractNumId w:val="14"/>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573C3F"/>
    <w:rsid w:val="000038C8"/>
    <w:rsid w:val="000044B3"/>
    <w:rsid w:val="0002119A"/>
    <w:rsid w:val="00023536"/>
    <w:rsid w:val="00036C46"/>
    <w:rsid w:val="0006541B"/>
    <w:rsid w:val="0007517E"/>
    <w:rsid w:val="00085C6D"/>
    <w:rsid w:val="000A1C33"/>
    <w:rsid w:val="000B5F21"/>
    <w:rsid w:val="000C0679"/>
    <w:rsid w:val="00111E78"/>
    <w:rsid w:val="00126B16"/>
    <w:rsid w:val="00130CE4"/>
    <w:rsid w:val="00136CB2"/>
    <w:rsid w:val="00145E15"/>
    <w:rsid w:val="00151668"/>
    <w:rsid w:val="00190285"/>
    <w:rsid w:val="0019141A"/>
    <w:rsid w:val="001A49DE"/>
    <w:rsid w:val="001D002B"/>
    <w:rsid w:val="001D074D"/>
    <w:rsid w:val="001E7178"/>
    <w:rsid w:val="001F6C18"/>
    <w:rsid w:val="00227005"/>
    <w:rsid w:val="00232221"/>
    <w:rsid w:val="00232C0A"/>
    <w:rsid w:val="002808F3"/>
    <w:rsid w:val="002C5440"/>
    <w:rsid w:val="002D2718"/>
    <w:rsid w:val="002F0264"/>
    <w:rsid w:val="003061FB"/>
    <w:rsid w:val="0032445E"/>
    <w:rsid w:val="003442AB"/>
    <w:rsid w:val="00356270"/>
    <w:rsid w:val="00357B4E"/>
    <w:rsid w:val="003719B1"/>
    <w:rsid w:val="00377915"/>
    <w:rsid w:val="003871E2"/>
    <w:rsid w:val="00396D5F"/>
    <w:rsid w:val="003E0C80"/>
    <w:rsid w:val="003E11B9"/>
    <w:rsid w:val="0042241B"/>
    <w:rsid w:val="00430471"/>
    <w:rsid w:val="004438E9"/>
    <w:rsid w:val="004647FD"/>
    <w:rsid w:val="00465C3C"/>
    <w:rsid w:val="004D461E"/>
    <w:rsid w:val="004D6B52"/>
    <w:rsid w:val="004F6ADF"/>
    <w:rsid w:val="00512D92"/>
    <w:rsid w:val="005168AE"/>
    <w:rsid w:val="0052773F"/>
    <w:rsid w:val="0052781F"/>
    <w:rsid w:val="0053008D"/>
    <w:rsid w:val="005300BD"/>
    <w:rsid w:val="00562865"/>
    <w:rsid w:val="00562EFD"/>
    <w:rsid w:val="00573C3F"/>
    <w:rsid w:val="005E3F33"/>
    <w:rsid w:val="005F78B8"/>
    <w:rsid w:val="006312E7"/>
    <w:rsid w:val="006317D4"/>
    <w:rsid w:val="00655AE5"/>
    <w:rsid w:val="00664C0A"/>
    <w:rsid w:val="00670D68"/>
    <w:rsid w:val="00755C5D"/>
    <w:rsid w:val="00756C55"/>
    <w:rsid w:val="00792BF3"/>
    <w:rsid w:val="007A1CFC"/>
    <w:rsid w:val="007A4093"/>
    <w:rsid w:val="007B10C0"/>
    <w:rsid w:val="007F14C8"/>
    <w:rsid w:val="00814E6C"/>
    <w:rsid w:val="008173E8"/>
    <w:rsid w:val="00851ABD"/>
    <w:rsid w:val="00876B8D"/>
    <w:rsid w:val="00881CC5"/>
    <w:rsid w:val="008870A4"/>
    <w:rsid w:val="008B5405"/>
    <w:rsid w:val="008D12DE"/>
    <w:rsid w:val="008D3EAA"/>
    <w:rsid w:val="008E2415"/>
    <w:rsid w:val="008F552B"/>
    <w:rsid w:val="00943D90"/>
    <w:rsid w:val="009534B7"/>
    <w:rsid w:val="00967165"/>
    <w:rsid w:val="00974C46"/>
    <w:rsid w:val="00977316"/>
    <w:rsid w:val="00987BA2"/>
    <w:rsid w:val="009E6E9A"/>
    <w:rsid w:val="00A0123E"/>
    <w:rsid w:val="00A11440"/>
    <w:rsid w:val="00A30CC1"/>
    <w:rsid w:val="00A31ECE"/>
    <w:rsid w:val="00A33E4E"/>
    <w:rsid w:val="00A6730D"/>
    <w:rsid w:val="00A75FFB"/>
    <w:rsid w:val="00AF2F0B"/>
    <w:rsid w:val="00AF5C0E"/>
    <w:rsid w:val="00B27765"/>
    <w:rsid w:val="00B31AA4"/>
    <w:rsid w:val="00B36968"/>
    <w:rsid w:val="00B75418"/>
    <w:rsid w:val="00B87CCF"/>
    <w:rsid w:val="00B94F2A"/>
    <w:rsid w:val="00BA7923"/>
    <w:rsid w:val="00BB5FE6"/>
    <w:rsid w:val="00BC3A40"/>
    <w:rsid w:val="00BD5ECE"/>
    <w:rsid w:val="00BE15AC"/>
    <w:rsid w:val="00BE59FC"/>
    <w:rsid w:val="00C16895"/>
    <w:rsid w:val="00C33BF7"/>
    <w:rsid w:val="00C611A9"/>
    <w:rsid w:val="00C8257C"/>
    <w:rsid w:val="00C90A50"/>
    <w:rsid w:val="00CD45A8"/>
    <w:rsid w:val="00CD51D4"/>
    <w:rsid w:val="00CE36DB"/>
    <w:rsid w:val="00CF54DC"/>
    <w:rsid w:val="00CF7DD6"/>
    <w:rsid w:val="00D11E39"/>
    <w:rsid w:val="00D651B2"/>
    <w:rsid w:val="00D753FD"/>
    <w:rsid w:val="00D8317B"/>
    <w:rsid w:val="00DA5518"/>
    <w:rsid w:val="00DC570B"/>
    <w:rsid w:val="00E0748A"/>
    <w:rsid w:val="00E36BE2"/>
    <w:rsid w:val="00E46897"/>
    <w:rsid w:val="00E5216E"/>
    <w:rsid w:val="00E72268"/>
    <w:rsid w:val="00E75B24"/>
    <w:rsid w:val="00E956B1"/>
    <w:rsid w:val="00EC3E50"/>
    <w:rsid w:val="00EC4CDC"/>
    <w:rsid w:val="00ED04EB"/>
    <w:rsid w:val="00EF474F"/>
    <w:rsid w:val="00EF6010"/>
    <w:rsid w:val="00F11852"/>
    <w:rsid w:val="00F219C2"/>
    <w:rsid w:val="00F220CE"/>
    <w:rsid w:val="00F23D9E"/>
    <w:rsid w:val="00F31887"/>
    <w:rsid w:val="00F703D2"/>
    <w:rsid w:val="00FE641A"/>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CE4"/>
    <w:pPr>
      <w:spacing w:after="200" w:line="276" w:lineRule="auto"/>
    </w:pPr>
    <w:rPr>
      <w:sz w:val="22"/>
      <w:szCs w:val="22"/>
      <w:lang w:eastAsia="en-US"/>
    </w:rPr>
  </w:style>
  <w:style w:type="paragraph" w:styleId="Heading1">
    <w:name w:val="heading 1"/>
    <w:basedOn w:val="Normal"/>
    <w:next w:val="Normal"/>
    <w:qFormat/>
    <w:rsid w:val="00130CE4"/>
    <w:pPr>
      <w:keepNex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30CE4"/>
    <w:pPr>
      <w:autoSpaceDE w:val="0"/>
      <w:autoSpaceDN w:val="0"/>
      <w:adjustRightInd w:val="0"/>
      <w:spacing w:after="0" w:line="240" w:lineRule="auto"/>
      <w:jc w:val="center"/>
    </w:pPr>
    <w:rPr>
      <w:rFonts w:ascii="Arial" w:eastAsia="Times New Roman" w:hAnsi="Arial" w:cs="Arial"/>
      <w:b/>
      <w:bCs/>
      <w:sz w:val="36"/>
      <w:szCs w:val="28"/>
      <w:lang w:val="en-US"/>
    </w:rPr>
  </w:style>
  <w:style w:type="character" w:customStyle="1" w:styleId="TitleChar">
    <w:name w:val="Title Char"/>
    <w:basedOn w:val="DefaultParagraphFont"/>
    <w:rsid w:val="00130CE4"/>
    <w:rPr>
      <w:rFonts w:ascii="Arial" w:eastAsia="Times New Roman" w:hAnsi="Arial" w:cs="Arial"/>
      <w:b/>
      <w:bCs/>
      <w:sz w:val="36"/>
      <w:szCs w:val="28"/>
      <w:lang w:val="en-US" w:eastAsia="en-US"/>
    </w:rPr>
  </w:style>
  <w:style w:type="paragraph" w:styleId="Subtitle">
    <w:name w:val="Subtitle"/>
    <w:basedOn w:val="Normal"/>
    <w:qFormat/>
    <w:rsid w:val="00130CE4"/>
    <w:pPr>
      <w:autoSpaceDE w:val="0"/>
      <w:autoSpaceDN w:val="0"/>
      <w:adjustRightInd w:val="0"/>
      <w:spacing w:after="0" w:line="240" w:lineRule="auto"/>
      <w:jc w:val="center"/>
    </w:pPr>
    <w:rPr>
      <w:rFonts w:ascii="Arial" w:eastAsia="Times New Roman" w:hAnsi="Arial" w:cs="Arial"/>
      <w:b/>
      <w:bCs/>
      <w:sz w:val="28"/>
      <w:szCs w:val="24"/>
      <w:lang w:val="en-US"/>
    </w:rPr>
  </w:style>
  <w:style w:type="character" w:customStyle="1" w:styleId="SubtitleChar">
    <w:name w:val="Subtitle Char"/>
    <w:basedOn w:val="DefaultParagraphFont"/>
    <w:rsid w:val="00130CE4"/>
    <w:rPr>
      <w:rFonts w:ascii="Arial" w:eastAsia="Times New Roman" w:hAnsi="Arial" w:cs="Arial"/>
      <w:b/>
      <w:bCs/>
      <w:sz w:val="28"/>
      <w:szCs w:val="24"/>
      <w:lang w:val="en-US" w:eastAsia="en-US"/>
    </w:rPr>
  </w:style>
  <w:style w:type="paragraph" w:styleId="Header">
    <w:name w:val="header"/>
    <w:basedOn w:val="Normal"/>
    <w:semiHidden/>
    <w:unhideWhenUsed/>
    <w:rsid w:val="00130CE4"/>
    <w:pPr>
      <w:tabs>
        <w:tab w:val="center" w:pos="4680"/>
        <w:tab w:val="right" w:pos="9360"/>
      </w:tabs>
    </w:pPr>
  </w:style>
  <w:style w:type="character" w:customStyle="1" w:styleId="HeaderChar">
    <w:name w:val="Header Char"/>
    <w:basedOn w:val="DefaultParagraphFont"/>
    <w:semiHidden/>
    <w:rsid w:val="00130CE4"/>
    <w:rPr>
      <w:sz w:val="22"/>
      <w:szCs w:val="22"/>
      <w:lang w:eastAsia="en-US"/>
    </w:rPr>
  </w:style>
  <w:style w:type="paragraph" w:styleId="Footer">
    <w:name w:val="footer"/>
    <w:basedOn w:val="Normal"/>
    <w:semiHidden/>
    <w:unhideWhenUsed/>
    <w:rsid w:val="00130CE4"/>
    <w:pPr>
      <w:tabs>
        <w:tab w:val="center" w:pos="4680"/>
        <w:tab w:val="right" w:pos="9360"/>
      </w:tabs>
    </w:pPr>
  </w:style>
  <w:style w:type="character" w:customStyle="1" w:styleId="FooterChar">
    <w:name w:val="Footer Char"/>
    <w:basedOn w:val="DefaultParagraphFont"/>
    <w:rsid w:val="00130CE4"/>
    <w:rPr>
      <w:sz w:val="22"/>
      <w:szCs w:val="22"/>
      <w:lang w:eastAsia="en-US"/>
    </w:rPr>
  </w:style>
  <w:style w:type="paragraph" w:styleId="BalloonText">
    <w:name w:val="Balloon Text"/>
    <w:basedOn w:val="Normal"/>
    <w:link w:val="BalloonTextChar"/>
    <w:uiPriority w:val="99"/>
    <w:semiHidden/>
    <w:unhideWhenUsed/>
    <w:rsid w:val="00136C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CB2"/>
    <w:rPr>
      <w:rFonts w:ascii="Tahoma" w:hAnsi="Tahoma" w:cs="Tahoma"/>
      <w:sz w:val="16"/>
      <w:szCs w:val="16"/>
      <w:lang w:eastAsia="en-US"/>
    </w:rPr>
  </w:style>
  <w:style w:type="paragraph" w:styleId="NoSpacing">
    <w:name w:val="No Spacing"/>
    <w:uiPriority w:val="1"/>
    <w:qFormat/>
    <w:rsid w:val="00136CB2"/>
    <w:rPr>
      <w:sz w:val="22"/>
      <w:szCs w:val="22"/>
      <w:lang w:eastAsia="en-US"/>
    </w:rPr>
  </w:style>
  <w:style w:type="character" w:styleId="Hyperlink">
    <w:name w:val="Hyperlink"/>
    <w:basedOn w:val="DefaultParagraphFont"/>
    <w:uiPriority w:val="99"/>
    <w:unhideWhenUsed/>
    <w:rsid w:val="00356270"/>
    <w:rPr>
      <w:color w:val="0000FF"/>
      <w:u w:val="single"/>
    </w:rPr>
  </w:style>
  <w:style w:type="table" w:styleId="TableGrid">
    <w:name w:val="Table Grid"/>
    <w:basedOn w:val="TableNormal"/>
    <w:uiPriority w:val="59"/>
    <w:rsid w:val="00E956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64C0A"/>
    <w:pPr>
      <w:ind w:left="720"/>
      <w:contextualSpacing/>
    </w:pPr>
  </w:style>
</w:styles>
</file>

<file path=word/webSettings.xml><?xml version="1.0" encoding="utf-8"?>
<w:webSettings xmlns:r="http://schemas.openxmlformats.org/officeDocument/2006/relationships" xmlns:w="http://schemas.openxmlformats.org/wordprocessingml/2006/main">
  <w:divs>
    <w:div w:id="144006572">
      <w:bodyDiv w:val="1"/>
      <w:marLeft w:val="0"/>
      <w:marRight w:val="0"/>
      <w:marTop w:val="0"/>
      <w:marBottom w:val="0"/>
      <w:divBdr>
        <w:top w:val="none" w:sz="0" w:space="0" w:color="auto"/>
        <w:left w:val="none" w:sz="0" w:space="0" w:color="auto"/>
        <w:bottom w:val="none" w:sz="0" w:space="0" w:color="auto"/>
        <w:right w:val="none" w:sz="0" w:space="0" w:color="auto"/>
      </w:divBdr>
    </w:div>
    <w:div w:id="162164404">
      <w:bodyDiv w:val="1"/>
      <w:marLeft w:val="0"/>
      <w:marRight w:val="0"/>
      <w:marTop w:val="0"/>
      <w:marBottom w:val="0"/>
      <w:divBdr>
        <w:top w:val="none" w:sz="0" w:space="0" w:color="auto"/>
        <w:left w:val="none" w:sz="0" w:space="0" w:color="auto"/>
        <w:bottom w:val="none" w:sz="0" w:space="0" w:color="auto"/>
        <w:right w:val="none" w:sz="0" w:space="0" w:color="auto"/>
      </w:divBdr>
    </w:div>
    <w:div w:id="398483729">
      <w:bodyDiv w:val="1"/>
      <w:marLeft w:val="0"/>
      <w:marRight w:val="0"/>
      <w:marTop w:val="0"/>
      <w:marBottom w:val="0"/>
      <w:divBdr>
        <w:top w:val="none" w:sz="0" w:space="0" w:color="auto"/>
        <w:left w:val="none" w:sz="0" w:space="0" w:color="auto"/>
        <w:bottom w:val="none" w:sz="0" w:space="0" w:color="auto"/>
        <w:right w:val="none" w:sz="0" w:space="0" w:color="auto"/>
      </w:divBdr>
    </w:div>
    <w:div w:id="1464035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10C5A-B0AD-4C67-8F04-C5E0A18CC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3</Pages>
  <Words>923</Words>
  <Characters>5265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Springer Creek Forest Products 2009-2010</vt:lpstr>
    </vt:vector>
  </TitlesOfParts>
  <Company/>
  <LinksUpToDate>false</LinksUpToDate>
  <CharactersWithSpaces>6176</CharactersWithSpaces>
  <SharedDoc>false</SharedDoc>
  <HLinks>
    <vt:vector size="6" baseType="variant">
      <vt:variant>
        <vt:i4>2621488</vt:i4>
      </vt:variant>
      <vt:variant>
        <vt:i4>0</vt:i4>
      </vt:variant>
      <vt:variant>
        <vt:i4>0</vt:i4>
      </vt:variant>
      <vt:variant>
        <vt:i4>5</vt:i4>
      </vt:variant>
      <vt:variant>
        <vt:lpwstr>http://kootenayspatial.ca/xsql/ksdpmenu01.xsql?xml-stylesheet=ksdp_meta01.xsl&amp;unit_id=705&amp;unitname=DAR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Springer Creek Forest Products 2009-2010</dc:title>
  <dc:subject/>
  <dc:creator>Kathy Howard</dc:creator>
  <cp:keywords/>
  <dc:description/>
  <cp:lastModifiedBy>Kathy Howard</cp:lastModifiedBy>
  <cp:revision>19</cp:revision>
  <cp:lastPrinted>2011-07-14T04:06:00Z</cp:lastPrinted>
  <dcterms:created xsi:type="dcterms:W3CDTF">2011-07-12T18:06:00Z</dcterms:created>
  <dcterms:modified xsi:type="dcterms:W3CDTF">2011-07-14T04:09:00Z</dcterms:modified>
</cp:coreProperties>
</file>